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rPr>
      </w:pPr>
      <w:r>
        <w:rPr>
          <w:rFonts w:hint="eastAsia" w:ascii="宋体" w:hAnsi="宋体" w:cs="宋体"/>
          <w:b/>
          <w:sz w:val="36"/>
        </w:rPr>
        <w:t>南雄市浈江流域水质达标研判与综合调控治理技术服务项目采购需求</w:t>
      </w:r>
    </w:p>
    <w:p>
      <w:pPr>
        <w:spacing w:line="360" w:lineRule="auto"/>
        <w:rPr>
          <w:rFonts w:hint="eastAsia" w:ascii="宋体" w:hAnsi="宋体" w:cs="宋体"/>
        </w:rPr>
      </w:pPr>
      <w:r>
        <w:rPr>
          <w:rFonts w:hint="eastAsia" w:ascii="宋体" w:hAnsi="宋体" w:cs="宋体"/>
          <w:b/>
          <w:sz w:val="28"/>
        </w:rPr>
        <w:t>一、</w:t>
      </w:r>
      <w:bookmarkStart w:id="0" w:name="_Toc217550960"/>
      <w:r>
        <w:rPr>
          <w:rFonts w:hint="eastAsia" w:ascii="宋体" w:hAnsi="宋体" w:cs="宋体"/>
          <w:b/>
          <w:sz w:val="28"/>
        </w:rPr>
        <w:t>项目背景</w:t>
      </w:r>
      <w:bookmarkEnd w:id="0"/>
      <w:r>
        <w:rPr>
          <w:rFonts w:hint="eastAsia" w:ascii="宋体" w:hAnsi="宋体" w:cs="宋体"/>
          <w:b/>
          <w:sz w:val="28"/>
        </w:rPr>
        <w:t>：</w:t>
      </w:r>
    </w:p>
    <w:p>
      <w:pPr>
        <w:spacing w:line="360" w:lineRule="auto"/>
        <w:ind w:firstLine="440" w:firstLineChars="200"/>
        <w:rPr>
          <w:rFonts w:hint="eastAsia" w:ascii="宋体" w:hAnsi="宋体" w:cs="宋体"/>
          <w:color w:val="auto"/>
          <w:sz w:val="22"/>
          <w:szCs w:val="28"/>
        </w:rPr>
      </w:pPr>
      <w:r>
        <w:rPr>
          <w:rFonts w:hint="eastAsia" w:ascii="宋体" w:hAnsi="宋体" w:cs="宋体"/>
          <w:color w:val="auto"/>
          <w:sz w:val="22"/>
          <w:szCs w:val="28"/>
        </w:rPr>
        <w:t>南雄市是国家重点生态功能区</w:t>
      </w:r>
      <w:r>
        <w:rPr>
          <w:rFonts w:hint="eastAsia" w:ascii="宋体" w:hAnsi="宋体" w:cs="宋体"/>
          <w:color w:val="auto"/>
          <w:sz w:val="22"/>
          <w:szCs w:val="28"/>
          <w:lang w:eastAsia="zh-CN"/>
        </w:rPr>
        <w:t>，境内干流浈江属于</w:t>
      </w:r>
      <w:r>
        <w:rPr>
          <w:rFonts w:hint="eastAsia" w:ascii="宋体" w:hAnsi="宋体" w:cs="宋体"/>
          <w:color w:val="auto"/>
          <w:sz w:val="22"/>
          <w:szCs w:val="28"/>
        </w:rPr>
        <w:t>北江上游，。“十四五”期间</w:t>
      </w:r>
      <w:r>
        <w:rPr>
          <w:rFonts w:hint="eastAsia" w:ascii="宋体" w:hAnsi="宋体" w:cs="宋体"/>
          <w:color w:val="auto"/>
          <w:sz w:val="22"/>
          <w:szCs w:val="28"/>
          <w:lang w:eastAsia="zh-CN"/>
        </w:rPr>
        <w:t>浈江南雄段</w:t>
      </w:r>
      <w:r>
        <w:rPr>
          <w:rFonts w:hint="eastAsia" w:ascii="宋体" w:hAnsi="宋体" w:cs="宋体"/>
          <w:color w:val="auto"/>
          <w:sz w:val="22"/>
          <w:szCs w:val="28"/>
        </w:rPr>
        <w:t>有河坪和古市两个国考断面，其中河坪断面为北江上游（浈江）“十四五”新增国考断面，“十五五”调整为省考断面。河坪断面水质目标为II类，古市断面水质目标为Ⅲ类，其中河坪断面经过系统性治理，达标基础并不牢固，从监测数据看，河坪断面进入雨季后受降雨影响总磷浓度呈现逐步上升的趋势，根据近年监测数据河坪断面总磷波动主要出现在第二、三季度的降雨期间。</w:t>
      </w:r>
    </w:p>
    <w:p>
      <w:pPr>
        <w:spacing w:line="360" w:lineRule="auto"/>
        <w:ind w:firstLine="440" w:firstLineChars="200"/>
        <w:rPr>
          <w:rFonts w:hint="eastAsia" w:ascii="宋体" w:hAnsi="宋体" w:cs="宋体"/>
          <w:color w:val="auto"/>
          <w:sz w:val="22"/>
          <w:szCs w:val="28"/>
        </w:rPr>
      </w:pPr>
      <w:r>
        <w:rPr>
          <w:rFonts w:hint="eastAsia" w:ascii="宋体" w:hAnsi="宋体" w:cs="宋体"/>
          <w:color w:val="auto"/>
          <w:sz w:val="22"/>
          <w:szCs w:val="28"/>
        </w:rPr>
        <w:t>古市断面位于河坪断面下游约45公里</w:t>
      </w:r>
      <w:r>
        <w:rPr>
          <w:rFonts w:hint="eastAsia" w:ascii="宋体" w:hAnsi="宋体" w:cs="宋体"/>
          <w:color w:val="auto"/>
          <w:sz w:val="22"/>
          <w:szCs w:val="28"/>
          <w:lang w:eastAsia="zh-CN"/>
        </w:rPr>
        <w:t>，临近</w:t>
      </w:r>
      <w:r>
        <w:rPr>
          <w:rFonts w:hint="eastAsia" w:ascii="宋体" w:hAnsi="宋体" w:cs="宋体"/>
          <w:color w:val="auto"/>
          <w:sz w:val="22"/>
          <w:szCs w:val="28"/>
        </w:rPr>
        <w:t>南雄市和始兴县的交界，水质目标为地表水Ⅲ类，2021-2024年古市断面水质年均值均达到Ⅲ类水质目标，但在丰水期水质容易出现波动。2025年雨季古市自动站高锰酸盐指数、氨氮和总磷等指标出现明显上升，且溶解氧部分时段不达标。</w:t>
      </w:r>
    </w:p>
    <w:p>
      <w:pPr>
        <w:spacing w:line="360" w:lineRule="auto"/>
        <w:ind w:firstLine="440" w:firstLineChars="200"/>
        <w:rPr>
          <w:rFonts w:hint="eastAsia" w:ascii="宋体" w:hAnsi="宋体" w:cs="宋体"/>
          <w:sz w:val="22"/>
          <w:szCs w:val="28"/>
        </w:rPr>
      </w:pPr>
      <w:r>
        <w:rPr>
          <w:rFonts w:hint="eastAsia" w:ascii="宋体" w:hAnsi="宋体" w:cs="宋体"/>
          <w:color w:val="auto"/>
          <w:sz w:val="22"/>
          <w:szCs w:val="28"/>
        </w:rPr>
        <w:t>综上，2026年拟委托专业第三方机构启动“南雄市浈江流域水质达标研判与综合调控治理技术服务项目”</w:t>
      </w:r>
      <w:r>
        <w:rPr>
          <w:rFonts w:hint="eastAsia" w:ascii="宋体" w:hAnsi="宋体" w:cs="宋体"/>
          <w:color w:val="auto"/>
          <w:sz w:val="22"/>
          <w:szCs w:val="28"/>
          <w:lang w:eastAsia="zh-CN"/>
        </w:rPr>
        <w:t>。</w:t>
      </w:r>
      <w:r>
        <w:rPr>
          <w:rFonts w:hint="eastAsia" w:ascii="宋体" w:hAnsi="宋体" w:cs="宋体"/>
          <w:color w:val="auto"/>
          <w:sz w:val="22"/>
          <w:szCs w:val="28"/>
        </w:rPr>
        <w:t>在现有工作基础上，在新形势下，对浈江流域治理进行高水平帮扶</w:t>
      </w:r>
      <w:r>
        <w:rPr>
          <w:rFonts w:hint="eastAsia" w:ascii="宋体" w:hAnsi="宋体" w:cs="宋体"/>
          <w:color w:val="auto"/>
          <w:sz w:val="22"/>
          <w:szCs w:val="28"/>
          <w:lang w:eastAsia="zh-CN"/>
        </w:rPr>
        <w:t>，</w:t>
      </w:r>
      <w:r>
        <w:rPr>
          <w:rFonts w:hint="eastAsia" w:ascii="宋体" w:hAnsi="宋体" w:cs="宋体"/>
          <w:color w:val="auto"/>
          <w:sz w:val="22"/>
          <w:szCs w:val="28"/>
        </w:rPr>
        <w:t>以月度精准研判为抓手，以中央专项资金项目跟踪评价为重点，以流域长效监管建设为目标，技术支撑河坪、古市断面在“十五五”期间稳定达标，支撑美丽南雄建设。</w:t>
      </w:r>
    </w:p>
    <w:p>
      <w:pPr>
        <w:spacing w:line="360" w:lineRule="auto"/>
        <w:rPr>
          <w:rFonts w:hint="eastAsia" w:ascii="宋体" w:hAnsi="宋体" w:cs="宋体"/>
          <w:sz w:val="22"/>
          <w:szCs w:val="28"/>
        </w:rPr>
      </w:pPr>
      <w:r>
        <w:rPr>
          <w:rFonts w:hint="eastAsia" w:ascii="宋体" w:hAnsi="宋体" w:cs="宋体"/>
          <w:sz w:val="22"/>
          <w:szCs w:val="28"/>
        </w:rPr>
        <w:t>采购包1（南雄市浈江流域水质达标研判与综合调控治理技术服务项目）</w:t>
      </w:r>
    </w:p>
    <w:p>
      <w:pPr>
        <w:spacing w:line="360" w:lineRule="auto"/>
        <w:rPr>
          <w:rFonts w:hint="eastAsia" w:ascii="宋体" w:hAnsi="宋体" w:cs="宋体"/>
        </w:rPr>
      </w:pPr>
      <w:r>
        <w:rPr>
          <w:rFonts w:hint="eastAsia" w:ascii="宋体" w:hAnsi="宋体" w:cs="宋体"/>
          <w:b/>
        </w:rPr>
        <w:t>1.主要商务要求</w:t>
      </w:r>
    </w:p>
    <w:tbl>
      <w:tblPr>
        <w:tblStyle w:val="9"/>
        <w:tblW w:w="98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0"/>
        <w:gridCol w:w="4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8" w:hRule="atLeast"/>
        </w:trPr>
        <w:tc>
          <w:tcPr>
            <w:tcW w:w="4910" w:type="dxa"/>
          </w:tcPr>
          <w:p>
            <w:pPr>
              <w:spacing w:line="360" w:lineRule="auto"/>
              <w:rPr>
                <w:rFonts w:hint="eastAsia" w:ascii="宋体" w:hAnsi="宋体" w:cs="宋体"/>
              </w:rPr>
            </w:pPr>
            <w:r>
              <w:rPr>
                <w:rFonts w:hint="eastAsia" w:ascii="宋体" w:hAnsi="宋体" w:cs="宋体"/>
              </w:rPr>
              <w:t>标的提供的时间</w:t>
            </w:r>
          </w:p>
        </w:tc>
        <w:tc>
          <w:tcPr>
            <w:tcW w:w="4910" w:type="dxa"/>
          </w:tcPr>
          <w:p>
            <w:pPr>
              <w:spacing w:line="360" w:lineRule="auto"/>
              <w:rPr>
                <w:rFonts w:hint="eastAsia" w:ascii="宋体" w:hAnsi="宋体" w:cs="宋体"/>
              </w:rPr>
            </w:pPr>
            <w:r>
              <w:rPr>
                <w:rFonts w:hint="eastAsia" w:ascii="宋体" w:hAnsi="宋体" w:cs="宋体"/>
              </w:rPr>
              <w:t>自合同签订之日起</w:t>
            </w:r>
            <w:r>
              <w:rPr>
                <w:rFonts w:hint="eastAsia" w:ascii="宋体" w:hAnsi="宋体" w:cs="宋体"/>
                <w:lang w:eastAsia="zh-CN"/>
              </w:rPr>
              <w:t>，</w:t>
            </w:r>
            <w:r>
              <w:rPr>
                <w:rFonts w:hint="eastAsia" w:ascii="宋体" w:hAnsi="宋体" w:cs="宋体"/>
                <w:lang w:eastAsia="zh-CN"/>
              </w:rPr>
              <w:t>服务期限</w:t>
            </w:r>
            <w:r>
              <w:rPr>
                <w:rFonts w:hint="eastAsia" w:ascii="宋体" w:hAnsi="宋体" w:cs="宋体"/>
                <w:lang w:val="en-US" w:eastAsia="zh-CN"/>
              </w:rPr>
              <w:t>1年</w:t>
            </w:r>
            <w:r>
              <w:rPr>
                <w:rFonts w:hint="eastAsia" w:ascii="宋体" w:hAnsi="宋体" w:cs="宋体"/>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4910" w:type="dxa"/>
          </w:tcPr>
          <w:p>
            <w:pPr>
              <w:spacing w:line="360" w:lineRule="auto"/>
              <w:rPr>
                <w:rFonts w:hint="eastAsia" w:ascii="宋体" w:hAnsi="宋体" w:cs="宋体"/>
              </w:rPr>
            </w:pPr>
            <w:r>
              <w:rPr>
                <w:rFonts w:hint="eastAsia" w:ascii="宋体" w:hAnsi="宋体" w:cs="宋体"/>
              </w:rPr>
              <w:t>标的提供的地点</w:t>
            </w:r>
          </w:p>
        </w:tc>
        <w:tc>
          <w:tcPr>
            <w:tcW w:w="4910" w:type="dxa"/>
          </w:tcPr>
          <w:p>
            <w:pPr>
              <w:spacing w:line="360" w:lineRule="auto"/>
              <w:rPr>
                <w:rFonts w:hint="eastAsia" w:ascii="宋体" w:hAnsi="宋体" w:cs="宋体"/>
              </w:rPr>
            </w:pPr>
            <w:r>
              <w:rPr>
                <w:rFonts w:hint="eastAsia" w:ascii="宋体" w:hAnsi="宋体" w:cs="宋体"/>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910" w:type="dxa"/>
          </w:tcPr>
          <w:p>
            <w:pPr>
              <w:spacing w:line="360" w:lineRule="auto"/>
              <w:rPr>
                <w:rFonts w:hint="eastAsia" w:ascii="宋体" w:hAnsi="宋体" w:cs="宋体"/>
              </w:rPr>
            </w:pPr>
            <w:r>
              <w:rPr>
                <w:rFonts w:hint="eastAsia" w:ascii="宋体" w:hAnsi="宋体" w:cs="宋体"/>
              </w:rPr>
              <w:t>付款方式</w:t>
            </w:r>
          </w:p>
        </w:tc>
        <w:tc>
          <w:tcPr>
            <w:tcW w:w="4910" w:type="dxa"/>
          </w:tcPr>
          <w:p>
            <w:pPr>
              <w:spacing w:line="360" w:lineRule="auto"/>
              <w:ind w:firstLine="420" w:firstLineChars="200"/>
              <w:rPr>
                <w:rFonts w:hint="eastAsia" w:ascii="宋体" w:hAnsi="宋体" w:cs="宋体"/>
                <w:color w:val="auto"/>
              </w:rPr>
            </w:pPr>
            <w:r>
              <w:rPr>
                <w:rFonts w:hint="eastAsia" w:ascii="宋体" w:hAnsi="宋体" w:cs="宋体"/>
                <w:color w:val="auto"/>
              </w:rPr>
              <w:t>1期：支付比例40%，合同签订生效后，采购人收到中标人开具的增值税发票之日起5个工作日内支付合同总额的40%作为预付款；</w:t>
            </w:r>
          </w:p>
          <w:p>
            <w:pPr>
              <w:spacing w:line="360" w:lineRule="auto"/>
              <w:ind w:firstLine="420" w:firstLineChars="200"/>
              <w:rPr>
                <w:rFonts w:hint="eastAsia" w:ascii="宋体" w:hAnsi="宋体" w:cs="宋体"/>
                <w:color w:val="auto"/>
              </w:rPr>
            </w:pPr>
            <w:r>
              <w:rPr>
                <w:rFonts w:hint="eastAsia" w:ascii="宋体" w:hAnsi="宋体" w:cs="宋体"/>
                <w:color w:val="auto"/>
              </w:rPr>
              <w:t>2期：支付比例30%，按要求提交《南雄市浈江流域重点污水处理工程问题诊断及效能评价分析报告》、《南雄市浈江流域农业面源生态治理工程长效运维技术手册》，支付至合同总额的70%；</w:t>
            </w:r>
          </w:p>
          <w:p>
            <w:pPr>
              <w:spacing w:line="360" w:lineRule="auto"/>
              <w:ind w:firstLine="420" w:firstLineChars="200"/>
              <w:rPr>
                <w:rFonts w:hint="eastAsia" w:ascii="宋体" w:hAnsi="宋体" w:cs="宋体"/>
                <w:color w:val="auto"/>
              </w:rPr>
            </w:pPr>
            <w:r>
              <w:rPr>
                <w:rFonts w:hint="eastAsia" w:ascii="宋体" w:hAnsi="宋体" w:cs="宋体"/>
                <w:color w:val="auto"/>
              </w:rPr>
              <w:t>3期：支付比例20%，按要求提交《南雄市浈江流域国省考断面水质达标形势研判分析报告汇编》，支付至合同总额90%；</w:t>
            </w:r>
          </w:p>
          <w:p>
            <w:pPr>
              <w:spacing w:line="360" w:lineRule="auto"/>
              <w:ind w:firstLine="420" w:firstLineChars="200"/>
              <w:rPr>
                <w:rFonts w:hint="eastAsia" w:ascii="宋体" w:hAnsi="宋体" w:cs="宋体"/>
                <w:color w:val="auto"/>
              </w:rPr>
            </w:pPr>
            <w:r>
              <w:rPr>
                <w:rFonts w:hint="eastAsia" w:ascii="宋体" w:hAnsi="宋体" w:cs="宋体"/>
                <w:color w:val="auto"/>
              </w:rPr>
              <w:t xml:space="preserve">4期：支付比例10%，中标人按时按质按量完成本项目并提交全部成果文件且通过专家评审和采购人验收合格后，支付至合同总额的100%。 </w:t>
            </w:r>
          </w:p>
          <w:p>
            <w:pPr>
              <w:spacing w:line="360" w:lineRule="auto"/>
              <w:ind w:firstLine="420" w:firstLineChars="200"/>
              <w:rPr>
                <w:rFonts w:hint="eastAsia" w:ascii="宋体" w:hAnsi="宋体" w:cs="宋体"/>
                <w:color w:val="auto"/>
              </w:rPr>
            </w:pPr>
            <w:r>
              <w:rPr>
                <w:rFonts w:hint="eastAsia" w:ascii="宋体" w:hAnsi="宋体" w:cs="宋体"/>
                <w:color w:val="auto"/>
              </w:rPr>
              <w:t>注： 1、成交人应开具相应金额的发票交给采购人申请结算合同款项； 2、因采购人使用的为财政资金，在规定时间内提出支付申请手续后即视为采购人已按期支付。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trPr>
        <w:tc>
          <w:tcPr>
            <w:tcW w:w="4910" w:type="dxa"/>
          </w:tcPr>
          <w:p>
            <w:pPr>
              <w:spacing w:line="360" w:lineRule="auto"/>
              <w:rPr>
                <w:rFonts w:hint="eastAsia" w:ascii="宋体" w:hAnsi="宋体" w:cs="宋体"/>
              </w:rPr>
            </w:pPr>
            <w:r>
              <w:rPr>
                <w:rFonts w:hint="eastAsia" w:ascii="宋体" w:hAnsi="宋体" w:cs="宋体"/>
              </w:rPr>
              <w:t>验收要求</w:t>
            </w:r>
          </w:p>
        </w:tc>
        <w:tc>
          <w:tcPr>
            <w:tcW w:w="4910" w:type="dxa"/>
          </w:tcPr>
          <w:p>
            <w:pPr>
              <w:spacing w:line="360" w:lineRule="auto"/>
              <w:rPr>
                <w:rFonts w:hint="eastAsia" w:ascii="宋体" w:hAnsi="宋体" w:cs="宋体"/>
                <w:color w:val="auto"/>
              </w:rPr>
            </w:pPr>
            <w:r>
              <w:rPr>
                <w:rFonts w:hint="eastAsia" w:ascii="宋体" w:hAnsi="宋体" w:cs="宋体"/>
                <w:color w:val="auto"/>
              </w:rPr>
              <w:t>1期：（1）履约验收主体：采购人。 （2）履约验收时间：在每一期款项支付前，由中标人申请项目验收，采购人收到中标人项目验收建议之日起7日内按照合同的约定对履约情况进行验收，对每一项服务履约情况进行确认。 （3）履约验收方式：由采购人（或采购人指定的单位）和中标人共同进行。 （4）履约验收程序：①由采购人对服务质量及其他进行检验。如发现质量等任何一项与采购要求规定不符，采购人有权按照相关合同约定进行相应扣款。②中标人需按采购人的采购文件服务要求及时间要求，开展专家评审会，完善相应工作成果，并通过采购人审查验收。③验收合格后，采购人、中标人双方在验收合格单上签字确认。 （5）履约验收内容：满足采购需求的要求、投标文件中的相关承诺及合同约定要求。 （6）验收标准：按照国家相关行业要求、采购文件要求及投标文件的响应情况进行验收。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4910" w:type="dxa"/>
          </w:tcPr>
          <w:p>
            <w:pPr>
              <w:spacing w:line="360" w:lineRule="auto"/>
              <w:rPr>
                <w:rFonts w:hint="eastAsia" w:ascii="宋体" w:hAnsi="宋体" w:cs="宋体"/>
              </w:rPr>
            </w:pPr>
            <w:r>
              <w:rPr>
                <w:rFonts w:hint="eastAsia" w:ascii="宋体" w:hAnsi="宋体" w:cs="宋体"/>
              </w:rPr>
              <w:t>履约保证金</w:t>
            </w:r>
          </w:p>
        </w:tc>
        <w:tc>
          <w:tcPr>
            <w:tcW w:w="4910" w:type="dxa"/>
          </w:tcPr>
          <w:p>
            <w:pPr>
              <w:spacing w:line="360" w:lineRule="auto"/>
              <w:rPr>
                <w:rFonts w:hint="eastAsia" w:ascii="宋体" w:hAnsi="宋体" w:cs="宋体"/>
              </w:rPr>
            </w:pPr>
            <w:r>
              <w:rPr>
                <w:rFonts w:hint="eastAsia" w:ascii="宋体" w:hAnsi="宋体" w:cs="宋体"/>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4" w:hRule="atLeast"/>
        </w:trPr>
        <w:tc>
          <w:tcPr>
            <w:tcW w:w="4910" w:type="dxa"/>
          </w:tcPr>
          <w:p>
            <w:pPr>
              <w:spacing w:line="360" w:lineRule="auto"/>
              <w:rPr>
                <w:rFonts w:hint="eastAsia" w:ascii="宋体" w:hAnsi="宋体" w:cs="宋体"/>
              </w:rPr>
            </w:pPr>
            <w:r>
              <w:rPr>
                <w:rFonts w:hint="eastAsia" w:ascii="宋体" w:hAnsi="宋体" w:cs="宋体"/>
              </w:rPr>
              <w:t>其他</w:t>
            </w:r>
          </w:p>
        </w:tc>
        <w:tc>
          <w:tcPr>
            <w:tcW w:w="4910" w:type="dxa"/>
          </w:tcPr>
          <w:p>
            <w:pPr>
              <w:spacing w:line="360" w:lineRule="auto"/>
              <w:rPr>
                <w:rFonts w:hint="eastAsia" w:ascii="宋体" w:hAnsi="宋体" w:cs="宋体"/>
              </w:rPr>
            </w:pPr>
            <w:r>
              <w:rPr>
                <w:rFonts w:hint="eastAsia" w:ascii="宋体" w:hAnsi="宋体" w:cs="宋体"/>
              </w:rPr>
              <w:t>无</w:t>
            </w:r>
          </w:p>
        </w:tc>
      </w:tr>
    </w:tbl>
    <w:p>
      <w:pPr>
        <w:spacing w:line="360" w:lineRule="auto"/>
        <w:rPr>
          <w:rFonts w:hint="eastAsia" w:ascii="宋体" w:hAnsi="宋体" w:cs="宋体"/>
        </w:rPr>
      </w:pPr>
      <w:r>
        <w:rPr>
          <w:rFonts w:hint="eastAsia" w:ascii="宋体" w:hAnsi="宋体" w:cs="宋体"/>
        </w:rPr>
        <w:t>其他商务需求</w:t>
      </w:r>
    </w:p>
    <w:tbl>
      <w:tblPr>
        <w:tblStyle w:val="9"/>
        <w:tblW w:w="992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55"/>
        <w:gridCol w:w="900"/>
        <w:gridCol w:w="1875"/>
        <w:gridCol w:w="5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jc w:val="center"/>
        </w:trPr>
        <w:tc>
          <w:tcPr>
            <w:tcW w:w="1355" w:type="dxa"/>
          </w:tcPr>
          <w:p>
            <w:pPr>
              <w:spacing w:line="360" w:lineRule="auto"/>
              <w:jc w:val="center"/>
              <w:rPr>
                <w:rFonts w:hint="eastAsia" w:ascii="宋体" w:hAnsi="宋体" w:cs="宋体"/>
              </w:rPr>
            </w:pPr>
            <w:r>
              <w:rPr>
                <w:rFonts w:hint="eastAsia" w:ascii="宋体" w:hAnsi="宋体" w:cs="宋体"/>
              </w:rPr>
              <w:t>参数性质</w:t>
            </w:r>
          </w:p>
        </w:tc>
        <w:tc>
          <w:tcPr>
            <w:tcW w:w="900" w:type="dxa"/>
          </w:tcPr>
          <w:p>
            <w:pPr>
              <w:spacing w:line="360" w:lineRule="auto"/>
              <w:jc w:val="center"/>
              <w:rPr>
                <w:rFonts w:hint="eastAsia" w:ascii="宋体" w:hAnsi="宋体" w:cs="宋体"/>
              </w:rPr>
            </w:pPr>
            <w:r>
              <w:rPr>
                <w:rFonts w:hint="eastAsia" w:ascii="宋体" w:hAnsi="宋体" w:cs="宋体"/>
              </w:rPr>
              <w:t>编号</w:t>
            </w:r>
          </w:p>
        </w:tc>
        <w:tc>
          <w:tcPr>
            <w:tcW w:w="1875" w:type="dxa"/>
          </w:tcPr>
          <w:p>
            <w:pPr>
              <w:spacing w:line="360" w:lineRule="auto"/>
              <w:jc w:val="center"/>
              <w:rPr>
                <w:rFonts w:hint="eastAsia" w:ascii="宋体" w:hAnsi="宋体" w:cs="宋体"/>
              </w:rPr>
            </w:pPr>
            <w:r>
              <w:rPr>
                <w:rFonts w:hint="eastAsia" w:ascii="宋体" w:hAnsi="宋体" w:cs="宋体"/>
              </w:rPr>
              <w:t>内容明细</w:t>
            </w:r>
          </w:p>
        </w:tc>
        <w:tc>
          <w:tcPr>
            <w:tcW w:w="5794" w:type="dxa"/>
          </w:tcPr>
          <w:p>
            <w:pPr>
              <w:spacing w:line="360" w:lineRule="auto"/>
              <w:jc w:val="center"/>
              <w:rPr>
                <w:rFonts w:hint="eastAsia" w:ascii="宋体" w:hAnsi="宋体" w:cs="宋体"/>
              </w:rPr>
            </w:pPr>
            <w:r>
              <w:rPr>
                <w:rFonts w:hint="eastAsia" w:ascii="宋体" w:hAnsi="宋体" w:cs="宋体"/>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 w:hRule="atLeast"/>
          <w:jc w:val="center"/>
        </w:trPr>
        <w:tc>
          <w:tcPr>
            <w:tcW w:w="1355" w:type="dxa"/>
          </w:tcPr>
          <w:p>
            <w:pPr>
              <w:spacing w:line="360" w:lineRule="auto"/>
              <w:rPr>
                <w:rFonts w:hint="eastAsia" w:ascii="宋体" w:hAnsi="宋体" w:cs="宋体"/>
                <w:color w:val="auto"/>
                <w:highlight w:val="none"/>
              </w:rPr>
            </w:pPr>
          </w:p>
        </w:tc>
        <w:tc>
          <w:tcPr>
            <w:tcW w:w="900"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187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报价要求</w:t>
            </w:r>
          </w:p>
        </w:tc>
        <w:tc>
          <w:tcPr>
            <w:tcW w:w="5794" w:type="dxa"/>
          </w:tcPr>
          <w:p>
            <w:pPr>
              <w:numPr>
                <w:ilvl w:val="0"/>
                <w:numId w:val="1"/>
              </w:numPr>
              <w:spacing w:line="360" w:lineRule="auto"/>
              <w:rPr>
                <w:rFonts w:hint="eastAsia" w:ascii="宋体" w:hAnsi="宋体" w:cs="宋体"/>
                <w:color w:val="auto"/>
                <w:highlight w:val="none"/>
              </w:rPr>
            </w:pPr>
            <w:r>
              <w:rPr>
                <w:rFonts w:hint="eastAsia" w:ascii="宋体" w:hAnsi="宋体" w:cs="宋体"/>
                <w:color w:val="auto"/>
                <w:highlight w:val="none"/>
              </w:rPr>
              <w:t>本项目报价为总价报价，所有招标文件中明确的或隐含的为完成合同所需的一切责任和义务等有关费用都应包括在内，不再有报价以外的任何费用，未列明和没有填写的项目费用，应视为已包括在相关项目的报价中，采购人不再支付任何其他费用，采购人组织的专家审查所需费用也包含在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78" w:hRule="atLeast"/>
          <w:jc w:val="center"/>
        </w:trPr>
        <w:tc>
          <w:tcPr>
            <w:tcW w:w="1355" w:type="dxa"/>
          </w:tcPr>
          <w:p>
            <w:pPr>
              <w:spacing w:line="360" w:lineRule="auto"/>
              <w:rPr>
                <w:rFonts w:hint="eastAsia" w:ascii="宋体" w:hAnsi="宋体" w:cs="宋体"/>
                <w:color w:val="auto"/>
                <w:highlight w:val="none"/>
              </w:rPr>
            </w:pPr>
          </w:p>
        </w:tc>
        <w:tc>
          <w:tcPr>
            <w:tcW w:w="900"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187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技术服务目标</w:t>
            </w:r>
          </w:p>
        </w:tc>
        <w:tc>
          <w:tcPr>
            <w:tcW w:w="5794" w:type="dxa"/>
          </w:tcPr>
          <w:p>
            <w:pPr>
              <w:spacing w:line="360" w:lineRule="auto"/>
              <w:rPr>
                <w:rFonts w:hint="eastAsia" w:ascii="宋体" w:hAnsi="宋体" w:cs="宋体"/>
                <w:color w:val="auto"/>
                <w:highlight w:val="none"/>
              </w:rPr>
            </w:pPr>
            <w:r>
              <w:rPr>
                <w:rFonts w:hint="eastAsia" w:ascii="宋体" w:hAnsi="宋体" w:cs="宋体"/>
                <w:color w:val="auto"/>
                <w:highlight w:val="none"/>
              </w:rPr>
              <w:t>每月定期开展1次南雄市国</w:t>
            </w:r>
            <w:r>
              <w:rPr>
                <w:rFonts w:hint="eastAsia" w:ascii="宋体" w:hAnsi="宋体" w:cs="宋体"/>
                <w:color w:val="auto"/>
                <w:highlight w:val="none"/>
                <w:lang w:eastAsia="zh-CN"/>
              </w:rPr>
              <w:t>省</w:t>
            </w:r>
            <w:r>
              <w:rPr>
                <w:rFonts w:hint="eastAsia" w:ascii="宋体" w:hAnsi="宋体" w:cs="宋体"/>
                <w:color w:val="auto"/>
                <w:highlight w:val="none"/>
              </w:rPr>
              <w:t>考断面水质达标形式分析研判，对黄坑镇重点污水处理工程开展减排效能评价，技术指导推动中央</w:t>
            </w:r>
            <w:r>
              <w:rPr>
                <w:rFonts w:hint="eastAsia" w:ascii="宋体" w:hAnsi="宋体" w:cs="宋体"/>
                <w:color w:val="auto"/>
                <w:highlight w:val="none"/>
                <w:lang w:eastAsia="zh-CN"/>
              </w:rPr>
              <w:t>生态环境</w:t>
            </w:r>
            <w:r>
              <w:rPr>
                <w:rFonts w:hint="eastAsia" w:ascii="宋体" w:hAnsi="宋体" w:cs="宋体"/>
                <w:color w:val="auto"/>
                <w:highlight w:val="none"/>
              </w:rPr>
              <w:t>专项资金支持项目落地发挥实效并协助建立面源生态治理工程长效运维机制。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8" w:hRule="atLeast"/>
          <w:jc w:val="center"/>
        </w:trPr>
        <w:tc>
          <w:tcPr>
            <w:tcW w:w="1355" w:type="dxa"/>
          </w:tcPr>
          <w:p>
            <w:pPr>
              <w:spacing w:line="360" w:lineRule="auto"/>
              <w:rPr>
                <w:rFonts w:hint="eastAsia" w:ascii="宋体" w:hAnsi="宋体" w:cs="宋体"/>
                <w:color w:val="auto"/>
                <w:highlight w:val="none"/>
              </w:rPr>
            </w:pPr>
          </w:p>
        </w:tc>
        <w:tc>
          <w:tcPr>
            <w:tcW w:w="900"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187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驻点人员配置</w:t>
            </w:r>
          </w:p>
        </w:tc>
        <w:tc>
          <w:tcPr>
            <w:tcW w:w="5794" w:type="dxa"/>
          </w:tcPr>
          <w:p>
            <w:pPr>
              <w:spacing w:line="360" w:lineRule="auto"/>
              <w:rPr>
                <w:rFonts w:hint="eastAsia" w:ascii="宋体" w:hAnsi="宋体" w:cs="宋体"/>
                <w:color w:val="auto"/>
                <w:highlight w:val="none"/>
              </w:rPr>
            </w:pPr>
            <w:r>
              <w:rPr>
                <w:rFonts w:hint="eastAsia" w:ascii="宋体" w:hAnsi="宋体" w:cs="宋体"/>
                <w:color w:val="auto"/>
                <w:highlight w:val="none"/>
              </w:rPr>
              <w:t>本项目时间紧，现场调研、监测任务重，为使本项目按质、按量、按时、有序地实施，成交供应商须具有较强的服务能力，并配有较强的技术团队，团队投入人员不少于10人；项目负责人应具有水环境相关行业副高级或以上职称；主要技术人员具有环境相关行业中级或以上职称。需配备常驻南雄市技术服务人员2名，1人负责水质监测、问题排查、工程评估等，1人负责自动监测系统数据质控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83" w:hRule="atLeast"/>
          <w:jc w:val="center"/>
        </w:trPr>
        <w:tc>
          <w:tcPr>
            <w:tcW w:w="1355" w:type="dxa"/>
          </w:tcPr>
          <w:p>
            <w:pPr>
              <w:spacing w:line="360" w:lineRule="auto"/>
              <w:rPr>
                <w:rFonts w:hint="eastAsia" w:ascii="宋体" w:hAnsi="宋体" w:cs="宋体"/>
                <w:color w:val="auto"/>
                <w:highlight w:val="none"/>
              </w:rPr>
            </w:pPr>
          </w:p>
        </w:tc>
        <w:tc>
          <w:tcPr>
            <w:tcW w:w="900"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187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售后服务</w:t>
            </w:r>
          </w:p>
        </w:tc>
        <w:tc>
          <w:tcPr>
            <w:tcW w:w="5794" w:type="dxa"/>
          </w:tcPr>
          <w:p>
            <w:pPr>
              <w:spacing w:line="360" w:lineRule="auto"/>
              <w:rPr>
                <w:rFonts w:hint="eastAsia" w:ascii="宋体" w:hAnsi="宋体" w:cs="宋体"/>
                <w:color w:val="auto"/>
                <w:highlight w:val="none"/>
              </w:rPr>
            </w:pPr>
            <w:r>
              <w:rPr>
                <w:rFonts w:hint="eastAsia" w:ascii="宋体" w:hAnsi="宋体" w:cs="宋体"/>
                <w:color w:val="auto"/>
                <w:highlight w:val="none"/>
              </w:rPr>
              <w:t>1.本项目自成果交付验收合格之日起一年内为采购人提供免费的售后咨询服务（成果内容咨询等）。 2.售后咨询服务期内如果成果报告出现问题，成交供应商须提供48小时内即时响应并配合采购人处理。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2" w:hRule="atLeast"/>
          <w:jc w:val="center"/>
        </w:trPr>
        <w:tc>
          <w:tcPr>
            <w:tcW w:w="1355" w:type="dxa"/>
          </w:tcPr>
          <w:p>
            <w:pPr>
              <w:spacing w:line="360" w:lineRule="auto"/>
              <w:rPr>
                <w:rFonts w:hint="eastAsia" w:ascii="宋体" w:hAnsi="宋体" w:cs="宋体"/>
                <w:color w:val="auto"/>
                <w:highlight w:val="none"/>
              </w:rPr>
            </w:pPr>
          </w:p>
        </w:tc>
        <w:tc>
          <w:tcPr>
            <w:tcW w:w="900"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1875" w:type="dxa"/>
          </w:tcPr>
          <w:p>
            <w:pPr>
              <w:spacing w:line="360" w:lineRule="auto"/>
              <w:jc w:val="center"/>
              <w:rPr>
                <w:rFonts w:hint="eastAsia" w:ascii="宋体" w:hAnsi="宋体" w:cs="宋体"/>
                <w:color w:val="auto"/>
                <w:highlight w:val="none"/>
              </w:rPr>
            </w:pPr>
            <w:r>
              <w:rPr>
                <w:color w:val="auto"/>
                <w:highlight w:val="none"/>
              </w:rPr>
              <w:t>未尽事项</w:t>
            </w:r>
          </w:p>
        </w:tc>
        <w:tc>
          <w:tcPr>
            <w:tcW w:w="5794" w:type="dxa"/>
          </w:tcPr>
          <w:p>
            <w:pPr>
              <w:spacing w:line="360" w:lineRule="auto"/>
              <w:rPr>
                <w:rFonts w:hint="eastAsia" w:ascii="宋体" w:hAnsi="宋体" w:cs="宋体"/>
                <w:color w:val="auto"/>
                <w:highlight w:val="none"/>
              </w:rPr>
            </w:pPr>
            <w:r>
              <w:rPr>
                <w:color w:val="auto"/>
                <w:highlight w:val="none"/>
              </w:rPr>
              <w:t>其余未尽事项由采购人和中标供应商在签订合同时商定补充。</w:t>
            </w:r>
          </w:p>
        </w:tc>
      </w:tr>
    </w:tbl>
    <w:p>
      <w:pPr>
        <w:spacing w:line="360" w:lineRule="auto"/>
        <w:rPr>
          <w:rFonts w:hint="eastAsia" w:ascii="宋体" w:hAnsi="宋体" w:cs="宋体"/>
          <w:color w:val="auto"/>
          <w:highlight w:val="none"/>
        </w:rPr>
      </w:pPr>
      <w:r>
        <w:rPr>
          <w:rFonts w:hint="eastAsia" w:ascii="宋体" w:hAnsi="宋体" w:cs="宋体"/>
          <w:b/>
          <w:color w:val="auto"/>
          <w:highlight w:val="none"/>
        </w:rPr>
        <w:t>2.技术标准与要求</w:t>
      </w:r>
    </w:p>
    <w:tbl>
      <w:tblPr>
        <w:tblStyle w:val="9"/>
        <w:tblW w:w="99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5"/>
        <w:gridCol w:w="1025"/>
        <w:gridCol w:w="1176"/>
        <w:gridCol w:w="874"/>
        <w:gridCol w:w="1025"/>
        <w:gridCol w:w="1463"/>
        <w:gridCol w:w="1463"/>
        <w:gridCol w:w="921"/>
        <w:gridCol w:w="10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8" w:hRule="atLeast"/>
        </w:trPr>
        <w:tc>
          <w:tcPr>
            <w:tcW w:w="102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02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品目名称</w:t>
            </w:r>
          </w:p>
        </w:tc>
        <w:tc>
          <w:tcPr>
            <w:tcW w:w="1176"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标的名称</w:t>
            </w:r>
          </w:p>
        </w:tc>
        <w:tc>
          <w:tcPr>
            <w:tcW w:w="874"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单位</w:t>
            </w:r>
          </w:p>
        </w:tc>
        <w:tc>
          <w:tcPr>
            <w:tcW w:w="102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数量</w:t>
            </w:r>
          </w:p>
        </w:tc>
        <w:tc>
          <w:tcPr>
            <w:tcW w:w="1463"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分项预算单价（元）</w:t>
            </w:r>
          </w:p>
        </w:tc>
        <w:tc>
          <w:tcPr>
            <w:tcW w:w="1463"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分项预算总价（元）</w:t>
            </w:r>
          </w:p>
        </w:tc>
        <w:tc>
          <w:tcPr>
            <w:tcW w:w="921" w:type="dxa"/>
          </w:tcPr>
          <w:p>
            <w:pPr>
              <w:spacing w:line="360" w:lineRule="auto"/>
              <w:rPr>
                <w:rFonts w:hint="eastAsia" w:ascii="宋体" w:hAnsi="宋体" w:cs="宋体"/>
                <w:color w:val="auto"/>
                <w:highlight w:val="none"/>
              </w:rPr>
            </w:pPr>
            <w:r>
              <w:rPr>
                <w:rFonts w:hint="eastAsia" w:ascii="宋体" w:hAnsi="宋体" w:cs="宋体"/>
                <w:color w:val="auto"/>
                <w:highlight w:val="none"/>
              </w:rPr>
              <w:t>所属行业</w:t>
            </w:r>
          </w:p>
        </w:tc>
        <w:tc>
          <w:tcPr>
            <w:tcW w:w="102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5" w:hRule="atLeast"/>
        </w:trPr>
        <w:tc>
          <w:tcPr>
            <w:tcW w:w="1025" w:type="dxa"/>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1025" w:type="dxa"/>
          </w:tcPr>
          <w:p>
            <w:pPr>
              <w:spacing w:line="360" w:lineRule="auto"/>
              <w:jc w:val="left"/>
              <w:rPr>
                <w:rFonts w:hint="eastAsia" w:ascii="宋体" w:hAnsi="宋体" w:cs="宋体"/>
                <w:color w:val="auto"/>
                <w:highlight w:val="none"/>
              </w:rPr>
            </w:pPr>
            <w:r>
              <w:rPr>
                <w:rFonts w:hint="eastAsia" w:ascii="宋体" w:hAnsi="宋体" w:cs="宋体"/>
                <w:color w:val="auto"/>
                <w:highlight w:val="none"/>
              </w:rPr>
              <w:t>其他生态环境治理服务</w:t>
            </w:r>
          </w:p>
        </w:tc>
        <w:tc>
          <w:tcPr>
            <w:tcW w:w="1176" w:type="dxa"/>
          </w:tcPr>
          <w:p>
            <w:pPr>
              <w:spacing w:line="360" w:lineRule="auto"/>
              <w:jc w:val="left"/>
              <w:rPr>
                <w:rFonts w:hint="eastAsia" w:ascii="宋体" w:hAnsi="宋体" w:cs="宋体"/>
                <w:color w:val="auto"/>
                <w:highlight w:val="none"/>
              </w:rPr>
            </w:pPr>
            <w:r>
              <w:rPr>
                <w:rFonts w:hint="eastAsia" w:ascii="宋体" w:hAnsi="宋体" w:cs="宋体"/>
                <w:color w:val="auto"/>
                <w:highlight w:val="none"/>
              </w:rPr>
              <w:t>南雄市浈江流域水质达标研判与综合调控治理技术服务项目</w:t>
            </w:r>
          </w:p>
        </w:tc>
        <w:tc>
          <w:tcPr>
            <w:tcW w:w="874" w:type="dxa"/>
          </w:tcPr>
          <w:p>
            <w:pPr>
              <w:spacing w:line="360" w:lineRule="auto"/>
              <w:jc w:val="left"/>
              <w:rPr>
                <w:rFonts w:hint="eastAsia" w:ascii="宋体" w:hAnsi="宋体" w:cs="宋体"/>
                <w:color w:val="auto"/>
                <w:highlight w:val="none"/>
              </w:rPr>
            </w:pPr>
            <w:r>
              <w:rPr>
                <w:rFonts w:hint="eastAsia" w:ascii="宋体" w:hAnsi="宋体" w:cs="宋体"/>
                <w:color w:val="auto"/>
                <w:highlight w:val="none"/>
              </w:rPr>
              <w:t>项</w:t>
            </w:r>
          </w:p>
        </w:tc>
        <w:tc>
          <w:tcPr>
            <w:tcW w:w="1025" w:type="dxa"/>
          </w:tcPr>
          <w:p>
            <w:pPr>
              <w:spacing w:line="360" w:lineRule="auto"/>
              <w:jc w:val="right"/>
              <w:rPr>
                <w:rFonts w:hint="eastAsia" w:ascii="宋体" w:hAnsi="宋体" w:cs="宋体"/>
                <w:color w:val="auto"/>
                <w:highlight w:val="none"/>
              </w:rPr>
            </w:pPr>
            <w:r>
              <w:rPr>
                <w:rFonts w:hint="eastAsia" w:ascii="宋体" w:hAnsi="宋体" w:cs="宋体"/>
                <w:color w:val="auto"/>
                <w:highlight w:val="none"/>
              </w:rPr>
              <w:t>1.00</w:t>
            </w:r>
          </w:p>
        </w:tc>
        <w:tc>
          <w:tcPr>
            <w:tcW w:w="1463" w:type="dxa"/>
          </w:tcPr>
          <w:p>
            <w:pPr>
              <w:spacing w:line="360" w:lineRule="auto"/>
              <w:jc w:val="right"/>
              <w:rPr>
                <w:rFonts w:hint="eastAsia" w:ascii="宋体" w:hAnsi="宋体" w:cs="宋体"/>
                <w:color w:val="auto"/>
                <w:highlight w:val="none"/>
              </w:rPr>
            </w:pPr>
            <w:r>
              <w:rPr>
                <w:rFonts w:hint="eastAsia" w:ascii="宋体" w:hAnsi="宋体" w:cs="宋体"/>
                <w:color w:val="auto"/>
                <w:highlight w:val="none"/>
              </w:rPr>
              <w:t>3000000.00</w:t>
            </w:r>
          </w:p>
        </w:tc>
        <w:tc>
          <w:tcPr>
            <w:tcW w:w="1463" w:type="dxa"/>
          </w:tcPr>
          <w:p>
            <w:pPr>
              <w:spacing w:line="360" w:lineRule="auto"/>
              <w:jc w:val="right"/>
              <w:rPr>
                <w:rFonts w:hint="eastAsia" w:ascii="宋体" w:hAnsi="宋体" w:cs="宋体"/>
                <w:color w:val="auto"/>
                <w:highlight w:val="none"/>
              </w:rPr>
            </w:pPr>
            <w:r>
              <w:rPr>
                <w:rFonts w:hint="eastAsia" w:ascii="宋体" w:hAnsi="宋体" w:cs="宋体"/>
                <w:color w:val="auto"/>
                <w:highlight w:val="none"/>
              </w:rPr>
              <w:t>3000000.00</w:t>
            </w:r>
          </w:p>
        </w:tc>
        <w:tc>
          <w:tcPr>
            <w:tcW w:w="921" w:type="dxa"/>
          </w:tcPr>
          <w:p>
            <w:pPr>
              <w:spacing w:line="360" w:lineRule="auto"/>
              <w:rPr>
                <w:rFonts w:hint="eastAsia" w:ascii="宋体" w:hAnsi="宋体" w:cs="宋体"/>
                <w:color w:val="auto"/>
                <w:highlight w:val="none"/>
              </w:rPr>
            </w:pPr>
            <w:r>
              <w:rPr>
                <w:rFonts w:hint="eastAsia" w:ascii="宋体" w:hAnsi="宋体" w:cs="宋体"/>
                <w:color w:val="auto"/>
                <w:highlight w:val="none"/>
              </w:rPr>
              <w:t>其他未列明行业</w:t>
            </w:r>
          </w:p>
        </w:tc>
        <w:tc>
          <w:tcPr>
            <w:tcW w:w="1025" w:type="dxa"/>
          </w:tcPr>
          <w:p>
            <w:pPr>
              <w:spacing w:line="360" w:lineRule="auto"/>
              <w:rPr>
                <w:rFonts w:hint="eastAsia" w:ascii="宋体" w:hAnsi="宋体" w:cs="宋体"/>
                <w:color w:val="auto"/>
                <w:highlight w:val="none"/>
              </w:rPr>
            </w:pPr>
            <w:r>
              <w:rPr>
                <w:rFonts w:hint="eastAsia" w:ascii="宋体" w:hAnsi="宋体" w:cs="宋体"/>
                <w:color w:val="auto"/>
                <w:highlight w:val="none"/>
              </w:rPr>
              <w:t>详见附表一</w:t>
            </w:r>
          </w:p>
        </w:tc>
      </w:tr>
    </w:tbl>
    <w:p>
      <w:pPr>
        <w:spacing w:line="360" w:lineRule="auto"/>
        <w:rPr>
          <w:rFonts w:hint="eastAsia" w:ascii="宋体" w:hAnsi="宋体" w:cs="宋体"/>
          <w:color w:val="auto"/>
          <w:highlight w:val="none"/>
        </w:rPr>
      </w:pPr>
      <w:r>
        <w:rPr>
          <w:rFonts w:hint="eastAsia" w:ascii="宋体" w:hAnsi="宋体" w:cs="宋体"/>
          <w:b/>
          <w:color w:val="auto"/>
          <w:highlight w:val="none"/>
        </w:rPr>
        <w:t>附表一：南雄市浈江流域水质达标研判与综合调控治理技术服务项目</w:t>
      </w:r>
    </w:p>
    <w:tbl>
      <w:tblPr>
        <w:tblStyle w:val="9"/>
        <w:tblW w:w="101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5"/>
        <w:gridCol w:w="737"/>
        <w:gridCol w:w="82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44" w:hRule="atLeast"/>
        </w:trPr>
        <w:tc>
          <w:tcPr>
            <w:tcW w:w="1145" w:type="dxa"/>
          </w:tcPr>
          <w:p>
            <w:pPr>
              <w:spacing w:line="360" w:lineRule="auto"/>
              <w:rPr>
                <w:rFonts w:hint="eastAsia" w:ascii="宋体" w:hAnsi="宋体" w:cs="宋体"/>
                <w:color w:val="auto"/>
                <w:highlight w:val="none"/>
              </w:rPr>
            </w:pPr>
            <w:r>
              <w:rPr>
                <w:rFonts w:hint="eastAsia" w:ascii="宋体" w:hAnsi="宋体" w:cs="宋体"/>
                <w:color w:val="auto"/>
                <w:highlight w:val="none"/>
              </w:rPr>
              <w:t>参数性质</w:t>
            </w:r>
          </w:p>
        </w:tc>
        <w:tc>
          <w:tcPr>
            <w:tcW w:w="737" w:type="dxa"/>
          </w:tcPr>
          <w:p>
            <w:pPr>
              <w:spacing w:line="360" w:lineRule="auto"/>
              <w:rPr>
                <w:rFonts w:hint="eastAsia" w:ascii="宋体" w:hAnsi="宋体" w:cs="宋体"/>
                <w:color w:val="auto"/>
                <w:highlight w:val="none"/>
              </w:rPr>
            </w:pPr>
            <w:r>
              <w:rPr>
                <w:rFonts w:hint="eastAsia" w:ascii="宋体" w:hAnsi="宋体" w:cs="宋体"/>
                <w:color w:val="auto"/>
                <w:highlight w:val="none"/>
              </w:rPr>
              <w:t>序号</w:t>
            </w:r>
          </w:p>
        </w:tc>
        <w:tc>
          <w:tcPr>
            <w:tcW w:w="8236" w:type="dxa"/>
          </w:tcPr>
          <w:p>
            <w:pPr>
              <w:spacing w:line="360" w:lineRule="auto"/>
              <w:rPr>
                <w:rFonts w:hint="eastAsia" w:ascii="宋体" w:hAnsi="宋体" w:cs="宋体"/>
                <w:color w:val="auto"/>
                <w:highlight w:val="none"/>
              </w:rPr>
            </w:pPr>
            <w:r>
              <w:rPr>
                <w:rFonts w:hint="eastAsia" w:ascii="宋体" w:hAnsi="宋体" w:cs="宋体"/>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30" w:hRule="atLeast"/>
        </w:trPr>
        <w:tc>
          <w:tcPr>
            <w:tcW w:w="1145" w:type="dxa"/>
          </w:tcPr>
          <w:p>
            <w:pPr>
              <w:spacing w:line="360" w:lineRule="auto"/>
              <w:rPr>
                <w:rFonts w:hint="eastAsia" w:ascii="宋体" w:hAnsi="宋体" w:cs="宋体"/>
                <w:color w:val="auto"/>
                <w:highlight w:val="none"/>
              </w:rPr>
            </w:pPr>
          </w:p>
        </w:tc>
        <w:tc>
          <w:tcPr>
            <w:tcW w:w="737" w:type="dxa"/>
          </w:tcPr>
          <w:p>
            <w:pPr>
              <w:spacing w:line="360" w:lineRule="auto"/>
              <w:rPr>
                <w:rFonts w:hint="eastAsia" w:ascii="宋体" w:hAnsi="宋体" w:cs="宋体"/>
                <w:color w:val="auto"/>
                <w:highlight w:val="none"/>
              </w:rPr>
            </w:pPr>
            <w:r>
              <w:rPr>
                <w:rFonts w:hint="eastAsia" w:ascii="宋体" w:hAnsi="宋体" w:cs="宋体"/>
                <w:color w:val="auto"/>
                <w:highlight w:val="none"/>
              </w:rPr>
              <w:t>1</w:t>
            </w:r>
          </w:p>
        </w:tc>
        <w:tc>
          <w:tcPr>
            <w:tcW w:w="8236" w:type="dxa"/>
          </w:tcPr>
          <w:p>
            <w:pPr>
              <w:spacing w:line="360" w:lineRule="auto"/>
              <w:rPr>
                <w:rFonts w:hint="eastAsia" w:ascii="宋体" w:hAnsi="宋体" w:cs="宋体"/>
                <w:color w:val="auto"/>
                <w:sz w:val="22"/>
                <w:szCs w:val="28"/>
                <w:highlight w:val="none"/>
              </w:rPr>
            </w:pPr>
            <w:r>
              <w:rPr>
                <w:rFonts w:hint="eastAsia" w:ascii="宋体" w:hAnsi="宋体" w:cs="宋体"/>
                <w:color w:val="auto"/>
                <w:sz w:val="22"/>
                <w:szCs w:val="28"/>
                <w:highlight w:val="none"/>
              </w:rPr>
              <w:t>一、主要工作内容：</w:t>
            </w:r>
          </w:p>
          <w:p>
            <w:pPr>
              <w:pStyle w:val="12"/>
              <w:spacing w:line="360" w:lineRule="auto"/>
              <w:ind w:firstLine="0"/>
              <w:rPr>
                <w:rFonts w:hint="eastAsia" w:ascii="宋体" w:hAnsi="宋体" w:cs="宋体"/>
                <w:color w:val="auto"/>
                <w:sz w:val="21"/>
                <w:szCs w:val="28"/>
                <w:highlight w:val="none"/>
              </w:rPr>
            </w:pPr>
            <w:bookmarkStart w:id="1" w:name="_Toc217550967"/>
            <w:r>
              <w:rPr>
                <w:rFonts w:hint="eastAsia" w:ascii="宋体" w:hAnsi="宋体" w:cs="宋体"/>
                <w:color w:val="auto"/>
                <w:sz w:val="21"/>
                <w:szCs w:val="28"/>
                <w:highlight w:val="none"/>
              </w:rPr>
              <w:t>（一）国省考断面污染通量调查及水质达标形势研判分析</w:t>
            </w:r>
            <w:bookmarkEnd w:id="1"/>
          </w:p>
          <w:p>
            <w:pPr>
              <w:pStyle w:val="12"/>
              <w:spacing w:line="360" w:lineRule="auto"/>
              <w:ind w:firstLineChars="200"/>
              <w:rPr>
                <w:rFonts w:hint="eastAsia" w:ascii="宋体" w:hAnsi="宋体" w:cs="宋体"/>
                <w:color w:val="auto"/>
                <w:sz w:val="21"/>
                <w:szCs w:val="28"/>
                <w:highlight w:val="none"/>
              </w:rPr>
            </w:pPr>
            <w:r>
              <w:rPr>
                <w:rFonts w:hint="eastAsia" w:ascii="宋体" w:hAnsi="宋体" w:cs="宋体"/>
                <w:color w:val="auto"/>
                <w:sz w:val="21"/>
                <w:szCs w:val="28"/>
                <w:highlight w:val="none"/>
              </w:rPr>
              <w:t>本项工作旨在进行多指标通量调查以进一步明确浈江流域</w:t>
            </w:r>
            <w:r>
              <w:rPr>
                <w:rFonts w:hint="eastAsia" w:ascii="宋体" w:hAnsi="宋体" w:cs="宋体"/>
                <w:color w:val="auto"/>
                <w:sz w:val="21"/>
                <w:szCs w:val="28"/>
                <w:highlight w:val="none"/>
                <w:lang w:eastAsia="zh-CN"/>
              </w:rPr>
              <w:t>南雄段</w:t>
            </w:r>
            <w:r>
              <w:rPr>
                <w:rFonts w:hint="eastAsia" w:ascii="宋体" w:hAnsi="宋体" w:cs="宋体"/>
                <w:color w:val="auto"/>
                <w:sz w:val="21"/>
                <w:szCs w:val="28"/>
                <w:highlight w:val="none"/>
              </w:rPr>
              <w:t>主要生态环境问题及其重点污染区域与重点响应时段，为国省考断面科学精准谋划系统治理提供基础依据。</w:t>
            </w:r>
          </w:p>
          <w:p>
            <w:pPr>
              <w:pStyle w:val="12"/>
              <w:spacing w:line="360" w:lineRule="auto"/>
              <w:ind w:firstLine="0"/>
              <w:rPr>
                <w:rFonts w:hint="eastAsia" w:ascii="宋体" w:hAnsi="宋体" w:cs="宋体"/>
                <w:color w:val="auto"/>
                <w:sz w:val="21"/>
                <w:szCs w:val="28"/>
                <w:highlight w:val="none"/>
              </w:rPr>
            </w:pPr>
            <w:r>
              <w:rPr>
                <w:rFonts w:hint="eastAsia" w:ascii="宋体" w:hAnsi="宋体" w:cs="宋体"/>
                <w:color w:val="auto"/>
                <w:sz w:val="21"/>
                <w:szCs w:val="28"/>
                <w:highlight w:val="none"/>
              </w:rPr>
              <w:t>基于同步监测的水文、水质数据，核算古市国考断面</w:t>
            </w:r>
            <w:r>
              <w:rPr>
                <w:rFonts w:hint="eastAsia" w:ascii="宋体" w:hAnsi="宋体" w:cs="宋体"/>
                <w:color w:val="auto"/>
                <w:sz w:val="21"/>
                <w:szCs w:val="28"/>
                <w:highlight w:val="none"/>
                <w:lang w:eastAsia="zh-CN"/>
              </w:rPr>
              <w:t>、河坪断面</w:t>
            </w:r>
            <w:r>
              <w:rPr>
                <w:rFonts w:hint="eastAsia" w:ascii="宋体" w:hAnsi="宋体" w:cs="宋体"/>
                <w:color w:val="auto"/>
                <w:sz w:val="21"/>
                <w:szCs w:val="28"/>
                <w:highlight w:val="none"/>
              </w:rPr>
              <w:t>及主要干支流节点的污染物通量，分析关键污染物（如总磷、氨氮、化学需氧量）的通量时空分布，识别主要超标时段、重点污染河段与关键贡献支流。完成通量调查后结合每月度开展的污染源调查，分析污染源-排污口-水质响应关系分析，通过污染源现状分析，精准识别主要水环境问题，定期研判水质达标形势，通过每月研判水质变化情况针对性提出整治措施建议。以上工作编制提交《南雄市浈江流域国省考断面水质达标形势研判分析报告汇编》。</w:t>
            </w:r>
          </w:p>
          <w:p>
            <w:pPr>
              <w:pStyle w:val="12"/>
              <w:spacing w:line="360" w:lineRule="auto"/>
              <w:ind w:firstLine="0"/>
              <w:rPr>
                <w:rFonts w:hint="eastAsia" w:ascii="宋体" w:hAnsi="宋体" w:cs="宋体"/>
                <w:color w:val="auto"/>
                <w:sz w:val="21"/>
                <w:szCs w:val="28"/>
                <w:highlight w:val="none"/>
              </w:rPr>
            </w:pPr>
            <w:bookmarkStart w:id="2" w:name="_Toc217550968"/>
            <w:r>
              <w:rPr>
                <w:rFonts w:hint="eastAsia" w:ascii="宋体" w:hAnsi="宋体" w:cs="宋体"/>
                <w:color w:val="auto"/>
                <w:sz w:val="21"/>
                <w:szCs w:val="28"/>
                <w:highlight w:val="none"/>
              </w:rPr>
              <w:t>（二）南雄市畜禽养殖源及集中式粪污资源化成效评估</w:t>
            </w:r>
            <w:bookmarkEnd w:id="2"/>
          </w:p>
          <w:p>
            <w:pPr>
              <w:pStyle w:val="12"/>
              <w:spacing w:line="360" w:lineRule="auto"/>
              <w:ind w:firstLineChars="200"/>
              <w:rPr>
                <w:rFonts w:hint="eastAsia" w:ascii="宋体" w:hAnsi="宋体" w:cs="宋体"/>
                <w:color w:val="auto"/>
                <w:sz w:val="21"/>
                <w:szCs w:val="28"/>
                <w:highlight w:val="none"/>
              </w:rPr>
            </w:pPr>
            <w:r>
              <w:rPr>
                <w:rFonts w:hint="eastAsia" w:ascii="宋体" w:hAnsi="宋体" w:cs="宋体"/>
                <w:color w:val="auto"/>
                <w:sz w:val="21"/>
                <w:szCs w:val="28"/>
                <w:highlight w:val="none"/>
              </w:rPr>
              <w:t>每半年调查一次全市规模养殖场（截止25年9</w:t>
            </w:r>
            <w:bookmarkStart w:id="9" w:name="_GoBack"/>
            <w:bookmarkEnd w:id="9"/>
            <w:r>
              <w:rPr>
                <w:rFonts w:hint="eastAsia" w:ascii="宋体" w:hAnsi="宋体" w:cs="宋体"/>
                <w:color w:val="auto"/>
                <w:sz w:val="21"/>
                <w:szCs w:val="28"/>
                <w:highlight w:val="none"/>
              </w:rPr>
              <w:t>月底统计共75家）畜禽粪污处理情况，根据养殖量、出栏量和粪污转运台账等情况，结合黄坑粪污集中处理中心粪污收运数据，针对收运异常的养殖场进行排查，开展畜禽粪污资源化利用成效评估工作，本项任务成果汇总在月度水质达标形势分析报告内。</w:t>
            </w:r>
          </w:p>
          <w:p>
            <w:pPr>
              <w:pStyle w:val="12"/>
              <w:spacing w:line="360" w:lineRule="auto"/>
              <w:ind w:firstLine="0"/>
              <w:rPr>
                <w:rFonts w:hint="eastAsia" w:ascii="宋体" w:hAnsi="宋体" w:cs="宋体"/>
                <w:color w:val="auto"/>
                <w:sz w:val="21"/>
                <w:szCs w:val="28"/>
                <w:highlight w:val="none"/>
              </w:rPr>
            </w:pPr>
            <w:bookmarkStart w:id="3" w:name="_Toc217550969"/>
            <w:r>
              <w:rPr>
                <w:rFonts w:hint="eastAsia" w:ascii="宋体" w:hAnsi="宋体" w:cs="宋体"/>
                <w:color w:val="auto"/>
                <w:sz w:val="21"/>
                <w:szCs w:val="28"/>
                <w:highlight w:val="none"/>
              </w:rPr>
              <w:t>（三）水土流失监测及巡查</w:t>
            </w:r>
            <w:bookmarkEnd w:id="3"/>
          </w:p>
          <w:p>
            <w:pPr>
              <w:pStyle w:val="12"/>
              <w:spacing w:line="360" w:lineRule="auto"/>
              <w:ind w:firstLineChars="200"/>
              <w:rPr>
                <w:rFonts w:hint="eastAsia" w:ascii="宋体" w:hAnsi="宋体" w:cs="宋体"/>
                <w:color w:val="auto"/>
                <w:sz w:val="21"/>
                <w:szCs w:val="28"/>
                <w:highlight w:val="none"/>
              </w:rPr>
            </w:pPr>
            <w:r>
              <w:rPr>
                <w:rFonts w:hint="eastAsia" w:ascii="宋体" w:hAnsi="宋体" w:cs="宋体"/>
                <w:color w:val="auto"/>
                <w:sz w:val="21"/>
                <w:szCs w:val="28"/>
                <w:highlight w:val="none"/>
              </w:rPr>
              <w:t>通过高清遥感卫星影片解译、无人机航拍监测结合现场人工核查等手段，排查浈江南雄段长约112 公里的干流河道，定期梳理全市范围内影响河坪、古市断面的水土流失问题点，动态跟踪分析重点涉水工程对水质影响，本项任务成果汇总在月度水质达标形势分析报告内。</w:t>
            </w:r>
          </w:p>
          <w:p>
            <w:pPr>
              <w:pStyle w:val="12"/>
              <w:spacing w:line="360" w:lineRule="auto"/>
              <w:ind w:firstLine="0"/>
              <w:rPr>
                <w:rFonts w:hint="eastAsia" w:ascii="宋体" w:hAnsi="宋体" w:cs="宋体"/>
                <w:color w:val="auto"/>
                <w:sz w:val="21"/>
                <w:szCs w:val="28"/>
                <w:highlight w:val="none"/>
              </w:rPr>
            </w:pPr>
            <w:bookmarkStart w:id="4" w:name="_Toc217550970"/>
            <w:r>
              <w:rPr>
                <w:rFonts w:hint="eastAsia" w:ascii="宋体" w:hAnsi="宋体" w:cs="宋体"/>
                <w:color w:val="auto"/>
                <w:sz w:val="21"/>
                <w:szCs w:val="28"/>
                <w:highlight w:val="none"/>
              </w:rPr>
              <w:t>（四）重点污水处理工程问题诊断及效能评价分析</w:t>
            </w:r>
            <w:bookmarkEnd w:id="4"/>
          </w:p>
          <w:p>
            <w:pPr>
              <w:pStyle w:val="12"/>
              <w:spacing w:line="360" w:lineRule="auto"/>
              <w:ind w:firstLineChars="200"/>
              <w:rPr>
                <w:rFonts w:hint="eastAsia" w:ascii="宋体" w:hAnsi="宋体" w:cs="宋体"/>
                <w:color w:val="auto"/>
                <w:sz w:val="21"/>
                <w:szCs w:val="28"/>
                <w:highlight w:val="none"/>
              </w:rPr>
            </w:pPr>
            <w:r>
              <w:rPr>
                <w:rFonts w:hint="eastAsia" w:ascii="宋体" w:hAnsi="宋体" w:cs="宋体"/>
                <w:color w:val="auto"/>
                <w:sz w:val="21"/>
                <w:szCs w:val="28"/>
                <w:highlight w:val="none"/>
              </w:rPr>
              <w:t>针对黄坑镇污水处理和管网建设工程开展专项排查及效果评估，从“排水户-支管-干管-污水处理厂”对黄坑镇现状和拟新建的合计约48公里污水管网（含干管和支管）开展排查，综合采用水量水质调查、管网 CCTV/QV检测等技术手段，精准识别建成后的管网系统是否存在漏接错接、清水混入、污水溢流、管道破损等问题，开展重点污水处理工程问题诊断及效能评价分析。</w:t>
            </w:r>
          </w:p>
          <w:p>
            <w:pPr>
              <w:pStyle w:val="12"/>
              <w:spacing w:line="360" w:lineRule="auto"/>
              <w:ind w:firstLineChars="200"/>
              <w:rPr>
                <w:rFonts w:hint="eastAsia" w:ascii="宋体" w:hAnsi="宋体" w:cs="宋体"/>
                <w:color w:val="auto"/>
                <w:sz w:val="21"/>
                <w:szCs w:val="28"/>
                <w:highlight w:val="none"/>
              </w:rPr>
            </w:pPr>
            <w:r>
              <w:rPr>
                <w:rFonts w:hint="eastAsia" w:ascii="宋体" w:hAnsi="宋体" w:cs="宋体"/>
                <w:color w:val="auto"/>
                <w:sz w:val="21"/>
                <w:szCs w:val="28"/>
                <w:highlight w:val="none"/>
              </w:rPr>
              <w:t>围绕“水量提升、水质提质”目标，提出以“厂—网—河”一体化为核心的污水处理系统提质增效措施，包括管网更新与修复、进水浓度提升等提交《南雄市浈江流域重点污水处理工程问题诊断及效能评价分析报告》。</w:t>
            </w:r>
          </w:p>
          <w:p>
            <w:pPr>
              <w:pStyle w:val="12"/>
              <w:spacing w:line="360" w:lineRule="auto"/>
              <w:ind w:firstLine="0"/>
              <w:rPr>
                <w:rFonts w:hint="eastAsia" w:ascii="宋体" w:hAnsi="宋体" w:cs="宋体"/>
                <w:color w:val="auto"/>
                <w:sz w:val="21"/>
                <w:szCs w:val="28"/>
                <w:highlight w:val="none"/>
              </w:rPr>
            </w:pPr>
            <w:bookmarkStart w:id="5" w:name="_Toc217550971"/>
            <w:r>
              <w:rPr>
                <w:rFonts w:hint="eastAsia" w:ascii="宋体" w:hAnsi="宋体" w:cs="宋体"/>
                <w:color w:val="auto"/>
                <w:sz w:val="21"/>
                <w:szCs w:val="28"/>
                <w:highlight w:val="none"/>
              </w:rPr>
              <w:t>（五）中央资金项目全过程跟踪及成效评估</w:t>
            </w:r>
            <w:bookmarkEnd w:id="5"/>
          </w:p>
          <w:p>
            <w:pPr>
              <w:pStyle w:val="12"/>
              <w:spacing w:line="360" w:lineRule="auto"/>
              <w:ind w:firstLineChars="200"/>
              <w:rPr>
                <w:rFonts w:hint="eastAsia" w:ascii="宋体" w:hAnsi="宋体" w:cs="宋体"/>
                <w:color w:val="auto"/>
                <w:sz w:val="21"/>
                <w:szCs w:val="28"/>
                <w:highlight w:val="none"/>
              </w:rPr>
            </w:pPr>
            <w:r>
              <w:rPr>
                <w:rFonts w:hint="eastAsia" w:ascii="宋体" w:hAnsi="宋体" w:cs="宋体"/>
                <w:color w:val="auto"/>
                <w:sz w:val="21"/>
                <w:szCs w:val="28"/>
                <w:highlight w:val="none"/>
              </w:rPr>
              <w:t>由于农业面源生态治理工程投资大、工期长，需要动态跟踪评估工程的进展情况以及水生态环境质量改善响应情况，依据评估结果及时优化调整治理措施，技术支撑工程发挥成效，保障以最小的经济投入取得最大的水生态环境质量改善效果，加强绩效考核和执行按效付费。协助政府部门建立农业面源生态治理工程长效运维机制，编制提交《南雄市浈江流域农业面源生态治理工程长效运维技术手册》。</w:t>
            </w:r>
          </w:p>
          <w:p>
            <w:pPr>
              <w:pStyle w:val="12"/>
              <w:spacing w:line="360" w:lineRule="auto"/>
              <w:ind w:firstLine="0"/>
              <w:rPr>
                <w:rFonts w:hint="eastAsia" w:ascii="宋体" w:hAnsi="宋体" w:cs="宋体"/>
                <w:color w:val="auto"/>
                <w:sz w:val="21"/>
                <w:szCs w:val="28"/>
                <w:highlight w:val="none"/>
              </w:rPr>
            </w:pPr>
            <w:bookmarkStart w:id="6" w:name="_Toc217550972"/>
            <w:r>
              <w:rPr>
                <w:rFonts w:hint="eastAsia" w:ascii="宋体" w:hAnsi="宋体" w:cs="宋体"/>
                <w:color w:val="auto"/>
                <w:sz w:val="21"/>
                <w:szCs w:val="28"/>
                <w:highlight w:val="none"/>
              </w:rPr>
              <w:t>（六）浈江流域自动监测系统</w:t>
            </w:r>
            <w:bookmarkEnd w:id="6"/>
            <w:r>
              <w:rPr>
                <w:rFonts w:hint="eastAsia" w:ascii="宋体" w:hAnsi="宋体" w:cs="宋体"/>
                <w:color w:val="auto"/>
                <w:sz w:val="21"/>
                <w:szCs w:val="28"/>
                <w:highlight w:val="none"/>
              </w:rPr>
              <w:t>运维</w:t>
            </w:r>
          </w:p>
          <w:p>
            <w:pPr>
              <w:pStyle w:val="12"/>
              <w:spacing w:line="360" w:lineRule="auto"/>
              <w:ind w:firstLineChars="200"/>
              <w:rPr>
                <w:rFonts w:hint="eastAsia" w:ascii="宋体" w:hAnsi="宋体" w:cs="宋体"/>
                <w:color w:val="auto"/>
                <w:sz w:val="21"/>
                <w:szCs w:val="28"/>
                <w:highlight w:val="none"/>
              </w:rPr>
            </w:pPr>
            <w:r>
              <w:rPr>
                <w:rFonts w:hint="eastAsia" w:ascii="宋体" w:hAnsi="宋体" w:cs="宋体"/>
                <w:color w:val="auto"/>
                <w:sz w:val="21"/>
                <w:szCs w:val="28"/>
                <w:highlight w:val="none"/>
              </w:rPr>
              <w:t>常态化开展河坪污染通量站、蒻过、坪地山微型水质站在线自动监测系统运维，为期1年，3个站点提供的水质指标包括水温、溶解氧、电导率、浊度、pH、氨氮、高锰酸盐指数、总磷、总氮，河坪通量站提供水文数据包括流速、水位、流量等，更新频率为2小时/组。期间需要解决自动监测系统出现的各种问题，确保数据精准稳定可靠，满足数据有效率≥90%，此外需及时排除自动监测系统出现的故障并进行定期校准、核查、比对、性能测试，为保障浈江流域国省考断面达标提供重要的数据支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706" w:hRule="atLeast"/>
        </w:trPr>
        <w:tc>
          <w:tcPr>
            <w:tcW w:w="1145" w:type="dxa"/>
          </w:tcPr>
          <w:p>
            <w:pPr>
              <w:spacing w:line="360" w:lineRule="auto"/>
              <w:rPr>
                <w:rFonts w:hint="eastAsia" w:ascii="宋体" w:hAnsi="宋体" w:cs="宋体"/>
                <w:color w:val="auto"/>
                <w:highlight w:val="none"/>
              </w:rPr>
            </w:pPr>
          </w:p>
        </w:tc>
        <w:tc>
          <w:tcPr>
            <w:tcW w:w="737" w:type="dxa"/>
          </w:tcPr>
          <w:p>
            <w:pPr>
              <w:spacing w:line="360" w:lineRule="auto"/>
              <w:rPr>
                <w:rFonts w:hint="eastAsia" w:ascii="宋体" w:hAnsi="宋体" w:cs="宋体"/>
                <w:color w:val="auto"/>
                <w:highlight w:val="none"/>
              </w:rPr>
            </w:pPr>
            <w:r>
              <w:rPr>
                <w:rFonts w:hint="eastAsia" w:ascii="宋体" w:hAnsi="宋体" w:cs="宋体"/>
                <w:color w:val="auto"/>
                <w:highlight w:val="none"/>
              </w:rPr>
              <w:t>2</w:t>
            </w:r>
          </w:p>
        </w:tc>
        <w:tc>
          <w:tcPr>
            <w:tcW w:w="8236" w:type="dxa"/>
          </w:tcPr>
          <w:p>
            <w:pPr>
              <w:pStyle w:val="12"/>
              <w:ind w:firstLineChars="200"/>
              <w:rPr>
                <w:rFonts w:hint="eastAsia" w:ascii="宋体" w:hAnsi="宋体" w:cs="宋体"/>
                <w:color w:val="auto"/>
                <w:sz w:val="21"/>
                <w:szCs w:val="28"/>
                <w:highlight w:val="none"/>
              </w:rPr>
            </w:pPr>
            <w:r>
              <w:rPr>
                <w:rFonts w:hint="eastAsia" w:ascii="宋体" w:hAnsi="宋体" w:cs="宋体"/>
                <w:color w:val="auto"/>
                <w:sz w:val="21"/>
                <w:szCs w:val="28"/>
                <w:highlight w:val="none"/>
              </w:rPr>
              <w:t>二、预期成果及时间进度安排</w:t>
            </w:r>
          </w:p>
          <w:p>
            <w:pPr>
              <w:pStyle w:val="12"/>
              <w:ind w:firstLine="0"/>
              <w:rPr>
                <w:rFonts w:hint="eastAsia" w:ascii="宋体" w:hAnsi="宋体" w:cs="宋体"/>
                <w:color w:val="auto"/>
                <w:sz w:val="21"/>
                <w:szCs w:val="28"/>
                <w:highlight w:val="none"/>
              </w:rPr>
            </w:pPr>
            <w:bookmarkStart w:id="7" w:name="_Toc217550974"/>
            <w:r>
              <w:rPr>
                <w:rFonts w:ascii="宋体" w:hAnsi="宋体" w:cs="宋体"/>
                <w:color w:val="auto"/>
                <w:sz w:val="21"/>
                <w:szCs w:val="28"/>
                <w:highlight w:val="none"/>
              </w:rPr>
              <w:t>（一）预期成果</w:t>
            </w:r>
            <w:bookmarkEnd w:id="7"/>
          </w:p>
          <w:p>
            <w:pPr>
              <w:pStyle w:val="12"/>
              <w:ind w:firstLineChars="200"/>
              <w:rPr>
                <w:rFonts w:hint="eastAsia" w:ascii="宋体" w:hAnsi="宋体" w:cs="宋体"/>
                <w:color w:val="auto"/>
                <w:sz w:val="21"/>
                <w:szCs w:val="28"/>
                <w:highlight w:val="none"/>
              </w:rPr>
            </w:pPr>
            <w:r>
              <w:rPr>
                <w:rFonts w:ascii="宋体" w:hAnsi="宋体" w:cs="宋体"/>
                <w:color w:val="auto"/>
                <w:sz w:val="21"/>
                <w:szCs w:val="28"/>
                <w:highlight w:val="none"/>
              </w:rPr>
              <w:t>1.《南雄市浈江流域国省考断面水质达标形势研判分析报告汇编》</w:t>
            </w:r>
          </w:p>
          <w:p>
            <w:pPr>
              <w:pStyle w:val="12"/>
              <w:ind w:firstLineChars="200"/>
              <w:rPr>
                <w:rFonts w:hint="eastAsia" w:ascii="宋体" w:hAnsi="宋体" w:cs="宋体"/>
                <w:color w:val="auto"/>
                <w:sz w:val="21"/>
                <w:szCs w:val="28"/>
                <w:highlight w:val="none"/>
              </w:rPr>
            </w:pPr>
            <w:r>
              <w:rPr>
                <w:rFonts w:ascii="宋体" w:hAnsi="宋体" w:cs="宋体"/>
                <w:color w:val="auto"/>
                <w:sz w:val="21"/>
                <w:szCs w:val="28"/>
                <w:highlight w:val="none"/>
              </w:rPr>
              <w:t>2.《南雄市浈江流域重点污水处理工程问题诊断及效能评价分析报告》</w:t>
            </w:r>
          </w:p>
          <w:p>
            <w:pPr>
              <w:pStyle w:val="12"/>
              <w:ind w:firstLineChars="200"/>
              <w:rPr>
                <w:rFonts w:hint="eastAsia" w:ascii="宋体" w:hAnsi="宋体" w:cs="宋体"/>
                <w:color w:val="auto"/>
                <w:sz w:val="21"/>
                <w:szCs w:val="28"/>
                <w:highlight w:val="none"/>
              </w:rPr>
            </w:pPr>
            <w:r>
              <w:rPr>
                <w:rFonts w:ascii="宋体" w:hAnsi="宋体" w:cs="宋体"/>
                <w:color w:val="auto"/>
                <w:sz w:val="21"/>
                <w:szCs w:val="28"/>
                <w:highlight w:val="none"/>
              </w:rPr>
              <w:t>3.《南雄市浈江流域农业面源生态治理工程长效运维技术手册》</w:t>
            </w:r>
          </w:p>
          <w:p>
            <w:pPr>
              <w:pStyle w:val="12"/>
              <w:ind w:firstLine="0"/>
              <w:rPr>
                <w:rFonts w:hint="eastAsia" w:ascii="宋体" w:hAnsi="宋体" w:cs="宋体"/>
                <w:color w:val="auto"/>
                <w:sz w:val="21"/>
                <w:szCs w:val="28"/>
                <w:highlight w:val="none"/>
              </w:rPr>
            </w:pPr>
            <w:bookmarkStart w:id="8" w:name="_Toc217550975"/>
            <w:r>
              <w:rPr>
                <w:rFonts w:ascii="宋体" w:hAnsi="宋体" w:cs="宋体"/>
                <w:color w:val="auto"/>
                <w:sz w:val="21"/>
                <w:szCs w:val="28"/>
                <w:highlight w:val="none"/>
              </w:rPr>
              <w:t>（二）时间进度安排</w:t>
            </w:r>
            <w:bookmarkEnd w:id="8"/>
          </w:p>
          <w:p>
            <w:pPr>
              <w:pStyle w:val="12"/>
              <w:ind w:firstLineChars="200"/>
              <w:rPr>
                <w:rFonts w:hint="eastAsia" w:ascii="宋体" w:hAnsi="宋体" w:cs="宋体"/>
                <w:color w:val="auto"/>
                <w:sz w:val="21"/>
                <w:szCs w:val="28"/>
                <w:highlight w:val="none"/>
              </w:rPr>
            </w:pPr>
            <w:r>
              <w:rPr>
                <w:rFonts w:ascii="宋体" w:hAnsi="宋体" w:cs="宋体"/>
                <w:color w:val="auto"/>
                <w:sz w:val="21"/>
                <w:szCs w:val="28"/>
                <w:highlight w:val="none"/>
              </w:rPr>
              <w:t>1. 2026年4月-2027年3月，每月定期开展浈江流域国考省断面水质达标形势研判分析，并提交月度研判报告。</w:t>
            </w:r>
          </w:p>
          <w:p>
            <w:pPr>
              <w:pStyle w:val="12"/>
              <w:ind w:firstLineChars="200"/>
              <w:rPr>
                <w:rFonts w:hint="eastAsia" w:ascii="宋体" w:hAnsi="宋体" w:cs="宋体"/>
                <w:color w:val="auto"/>
                <w:sz w:val="21"/>
                <w:szCs w:val="28"/>
                <w:highlight w:val="none"/>
              </w:rPr>
            </w:pPr>
            <w:r>
              <w:rPr>
                <w:rFonts w:ascii="宋体" w:hAnsi="宋体" w:cs="宋体"/>
                <w:color w:val="auto"/>
                <w:sz w:val="21"/>
                <w:szCs w:val="28"/>
                <w:highlight w:val="none"/>
              </w:rPr>
              <w:t>2. 2027年4月15日前，编制提交《南雄市浈江流域国省考断面水质达标形势研判分析报告汇编》、《南雄市浈江流域重点污水处理工程问题诊断及效能评价分析报告》和《南雄市浈江流域农业面源生态治理工程长效运维技术手册》。</w:t>
            </w:r>
          </w:p>
          <w:p>
            <w:pPr>
              <w:pStyle w:val="12"/>
              <w:ind w:firstLineChars="200"/>
              <w:rPr>
                <w:rFonts w:hint="eastAsia" w:ascii="宋体" w:hAnsi="宋体" w:cs="宋体"/>
                <w:color w:val="auto"/>
                <w:sz w:val="21"/>
                <w:szCs w:val="28"/>
                <w:highlight w:val="none"/>
              </w:rPr>
            </w:pPr>
            <w:r>
              <w:rPr>
                <w:rFonts w:ascii="宋体" w:hAnsi="宋体" w:cs="宋体"/>
                <w:color w:val="auto"/>
                <w:sz w:val="21"/>
                <w:szCs w:val="28"/>
                <w:highlight w:val="none"/>
              </w:rPr>
              <w:t>3. 2027年4月30日前，项目通过评审验收。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327" w:hRule="atLeast"/>
        </w:trPr>
        <w:tc>
          <w:tcPr>
            <w:tcW w:w="1145" w:type="dxa"/>
          </w:tcPr>
          <w:p>
            <w:pPr>
              <w:spacing w:line="360" w:lineRule="auto"/>
              <w:rPr>
                <w:rFonts w:hint="eastAsia" w:ascii="宋体" w:hAnsi="宋体" w:cs="宋体"/>
                <w:color w:val="auto"/>
                <w:highlight w:val="none"/>
              </w:rPr>
            </w:pPr>
            <w:r>
              <w:rPr>
                <w:rFonts w:hint="eastAsia" w:ascii="宋体" w:hAnsi="宋体" w:cs="宋体"/>
                <w:color w:val="auto"/>
                <w:highlight w:val="none"/>
              </w:rPr>
              <w:t>说明</w:t>
            </w:r>
          </w:p>
        </w:tc>
        <w:tc>
          <w:tcPr>
            <w:tcW w:w="8973" w:type="dxa"/>
            <w:gridSpan w:val="2"/>
          </w:tcPr>
          <w:p>
            <w:pPr>
              <w:spacing w:line="360" w:lineRule="auto"/>
              <w:jc w:val="left"/>
              <w:rPr>
                <w:rFonts w:hint="eastAsia" w:ascii="宋体" w:hAnsi="宋体" w:cs="宋体"/>
                <w:color w:val="auto"/>
                <w:highlight w:val="none"/>
              </w:rPr>
            </w:pPr>
            <w:r>
              <w:rPr>
                <w:rFonts w:hint="eastAsia" w:ascii="宋体" w:hAnsi="宋体" w:cs="宋体"/>
                <w:color w:val="auto"/>
                <w:highlight w:val="none"/>
              </w:rPr>
              <w:t>打“★”号条款为实质性条款，若有任何一条负偏离或不满足则导致投标无效。</w:t>
            </w:r>
            <w:r>
              <w:rPr>
                <w:rFonts w:hint="eastAsia" w:ascii="宋体" w:hAnsi="宋体" w:cs="宋体"/>
                <w:color w:val="auto"/>
                <w:highlight w:val="none"/>
              </w:rPr>
              <w:br w:type="textWrapping"/>
            </w:r>
            <w:r>
              <w:rPr>
                <w:rFonts w:hint="eastAsia" w:ascii="宋体" w:hAnsi="宋体" w:cs="宋体"/>
                <w:color w:val="auto"/>
                <w:highlight w:val="none"/>
              </w:rPr>
              <w:t>打“▲”号条款为重要技术参数，若有部分“▲”条款未响应或不满足，将导致其响应性评审加重扣分，但不作为无效投标条款。</w:t>
            </w:r>
          </w:p>
        </w:tc>
      </w:tr>
    </w:tbl>
    <w:p>
      <w:pPr>
        <w:rPr>
          <w:rFonts w:hint="eastAsia" w:ascii="宋体" w:hAnsi="宋体" w:cs="宋体"/>
          <w:color w:val="auto"/>
          <w:highlight w:val="none"/>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rect id="文本框 1" o:spid="_x0000_s3073"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7077B"/>
    <w:multiLevelType w:val="singleLevel"/>
    <w:tmpl w:val="68070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E34"/>
    <w:rsid w:val="00115E34"/>
    <w:rsid w:val="00380C36"/>
    <w:rsid w:val="00402C59"/>
    <w:rsid w:val="00491C1B"/>
    <w:rsid w:val="004A5949"/>
    <w:rsid w:val="00557588"/>
    <w:rsid w:val="005D276D"/>
    <w:rsid w:val="0064733B"/>
    <w:rsid w:val="006A35DB"/>
    <w:rsid w:val="006B4CB1"/>
    <w:rsid w:val="006D4603"/>
    <w:rsid w:val="006D4A6A"/>
    <w:rsid w:val="007E0F68"/>
    <w:rsid w:val="00982E23"/>
    <w:rsid w:val="009E2629"/>
    <w:rsid w:val="00B93638"/>
    <w:rsid w:val="00B94A5F"/>
    <w:rsid w:val="00BD2C2B"/>
    <w:rsid w:val="00C260A1"/>
    <w:rsid w:val="00C54181"/>
    <w:rsid w:val="00D00F09"/>
    <w:rsid w:val="00DB577D"/>
    <w:rsid w:val="00DF4330"/>
    <w:rsid w:val="047A25B3"/>
    <w:rsid w:val="0D8F1A4E"/>
    <w:rsid w:val="0DD15D3A"/>
    <w:rsid w:val="12325E6E"/>
    <w:rsid w:val="18ED3A0F"/>
    <w:rsid w:val="2CA5304B"/>
    <w:rsid w:val="50BC5872"/>
    <w:rsid w:val="534C4DB4"/>
    <w:rsid w:val="55320458"/>
    <w:rsid w:val="59ED2814"/>
    <w:rsid w:val="5D934795"/>
    <w:rsid w:val="5F1C0A86"/>
    <w:rsid w:val="600A4E1D"/>
    <w:rsid w:val="63ED5D7D"/>
    <w:rsid w:val="7A1B6420"/>
    <w:rsid w:val="7A260959"/>
    <w:rsid w:val="DCAD9701"/>
    <w:rsid w:val="FBF55098"/>
    <w:rsid w:val="FEDF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adjustRightInd w:val="0"/>
      <w:snapToGrid w:val="0"/>
      <w:spacing w:line="360" w:lineRule="auto"/>
      <w:ind w:firstLine="200" w:firstLineChars="200"/>
    </w:pPr>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1"/>
    <w:basedOn w:val="1"/>
    <w:qFormat/>
    <w:uiPriority w:val="0"/>
    <w:pPr>
      <w:widowControl/>
      <w:ind w:firstLine="420"/>
      <w:jc w:val="left"/>
    </w:pPr>
    <w:rPr>
      <w:rFonts w:ascii="Times New Roman" w:hAnsi="Times New Roman" w:cs="Times New Roman"/>
      <w:kern w:val="0"/>
      <w:sz w:val="20"/>
    </w:rPr>
  </w:style>
  <w:style w:type="paragraph" w:customStyle="1" w:styleId="13">
    <w:name w:val="null3"/>
    <w:hidden/>
    <w:qFormat/>
    <w:uiPriority w:val="0"/>
    <w:rPr>
      <w:rFonts w:hint="eastAsia" w:ascii="Calibri" w:hAnsi="Calibri" w:eastAsia="宋体" w:cs="黑体"/>
      <w:lang w:val="en-US" w:eastAsia="zh-CN" w:bidi="ar-SA"/>
    </w:rPr>
  </w:style>
  <w:style w:type="paragraph" w:customStyle="1" w:styleId="14">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公文一级标题"/>
    <w:basedOn w:val="3"/>
    <w:next w:val="1"/>
    <w:qFormat/>
    <w:uiPriority w:val="0"/>
    <w:pPr>
      <w:adjustRightInd w:val="0"/>
      <w:snapToGrid w:val="0"/>
      <w:spacing w:before="0" w:after="0" w:line="360" w:lineRule="auto"/>
      <w:ind w:left="220" w:firstLine="420"/>
    </w:pPr>
    <w:rPr>
      <w:rFonts w:ascii="楷体_GB2312" w:hAnsi="楷体_GB2312" w:eastAsia="楷体_GB2312"/>
      <w:sz w:val="32"/>
    </w:rPr>
  </w:style>
  <w:style w:type="paragraph" w:customStyle="1" w:styleId="16">
    <w:name w:val="公文二级标题"/>
    <w:basedOn w:val="4"/>
    <w:next w:val="17"/>
    <w:qFormat/>
    <w:uiPriority w:val="0"/>
    <w:pPr>
      <w:adjustRightInd w:val="0"/>
      <w:snapToGrid w:val="0"/>
      <w:spacing w:before="0" w:after="0" w:line="360" w:lineRule="auto"/>
      <w:ind w:left="220" w:firstLine="420"/>
    </w:pPr>
    <w:rPr>
      <w:rFonts w:ascii="仿宋_GB2312" w:hAnsi="仿宋_GB2312" w:eastAsia="仿宋_GB2312"/>
    </w:rPr>
  </w:style>
  <w:style w:type="paragraph" w:customStyle="1" w:styleId="17">
    <w:name w:val="公文正文"/>
    <w:basedOn w:val="1"/>
    <w:qFormat/>
    <w:uiPriority w:val="0"/>
    <w:pPr>
      <w:adjustRightInd w:val="0"/>
      <w:snapToGrid w:val="0"/>
      <w:spacing w:line="360" w:lineRule="auto"/>
      <w:ind w:firstLine="641"/>
    </w:pPr>
    <w:rPr>
      <w:rFonts w:ascii="Times New Roman" w:hAnsi="Times New Roman" w:eastAsia="仿宋_GB2312"/>
      <w:sz w:val="32"/>
    </w:rPr>
  </w:style>
  <w:style w:type="paragraph" w:customStyle="1" w:styleId="18">
    <w:name w:val="Revision"/>
    <w:hidden/>
    <w:unhideWhenUsed/>
    <w:qFormat/>
    <w:uiPriority w:val="99"/>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590</Words>
  <Characters>3369</Characters>
  <Lines>28</Lines>
  <Paragraphs>7</Paragraphs>
  <TotalTime>5</TotalTime>
  <ScaleCrop>false</ScaleCrop>
  <LinksUpToDate>false</LinksUpToDate>
  <CharactersWithSpaces>3952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2026-03-26T11:48:00Z</dcterms:created>
  <dc:creator>hbj</dc:creator>
  <cp:lastModifiedBy>Administrator</cp:lastModifiedBy>
  <dcterms:modified xsi:type="dcterms:W3CDTF">2026-03-27T03:30:52Z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KSOTemplateDocerSaveRecord">
    <vt:lpwstr>eyJoZGlkIjoiMDVmN2Q5ZjM3YTYwOTZlZmM0MzUwNTBjMWQ1Mzc0ZGUiLCJ1c2VySWQiOiIyNTUzNTE1MTMifQ==</vt:lpwstr>
  </property>
  <property fmtid="{D5CDD505-2E9C-101B-9397-08002B2CF9AE}" pid="4" name="ICV">
    <vt:lpwstr>24F186AF90E047098DD0797159886387_12</vt:lpwstr>
  </property>
</Properties>
</file>